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B80" w:rsidRDefault="00623B80" w:rsidP="00623B80">
      <w:pPr>
        <w:autoSpaceDE w:val="0"/>
        <w:autoSpaceDN w:val="0"/>
        <w:adjustRightInd w:val="0"/>
        <w:spacing w:after="0" w:line="240" w:lineRule="auto"/>
        <w:jc w:val="center"/>
        <w:rPr>
          <w:rFonts w:ascii="EvelethCleanRegular" w:hAnsi="EvelethCleanRegular" w:cs="EvelethCleanRegular"/>
          <w:color w:val="58595B"/>
          <w:sz w:val="40"/>
          <w:szCs w:val="40"/>
        </w:rPr>
      </w:pPr>
      <w:r>
        <w:rPr>
          <w:rFonts w:ascii="EvelethCleanRegular" w:hAnsi="EvelethCleanRegular" w:cs="EvelethCleanRegular"/>
          <w:color w:val="58595B"/>
          <w:sz w:val="40"/>
          <w:szCs w:val="40"/>
        </w:rPr>
        <w:t>PHARMACY OWNER LAUNCHES THE DOSERX</w:t>
      </w:r>
      <w:r>
        <w:rPr>
          <w:rFonts w:ascii="EvelethCleanRegular" w:hAnsi="EvelethCleanRegular" w:cs="EvelethCleanRegular"/>
          <w:color w:val="58595B"/>
          <w:sz w:val="40"/>
          <w:szCs w:val="40"/>
        </w:rPr>
        <w:t xml:space="preserve"> </w:t>
      </w:r>
      <w:r>
        <w:rPr>
          <w:rFonts w:ascii="EvelethCleanRegular" w:hAnsi="EvelethCleanRegular" w:cs="EvelethCleanRegular"/>
          <w:color w:val="58595B"/>
          <w:sz w:val="40"/>
          <w:szCs w:val="40"/>
        </w:rPr>
        <w:t>INDEPENDENT PHARMACY ECOSYSTEM</w:t>
      </w:r>
    </w:p>
    <w:p w:rsidR="00623B80" w:rsidRDefault="00623B80" w:rsidP="00623B80">
      <w:pPr>
        <w:autoSpaceDE w:val="0"/>
        <w:autoSpaceDN w:val="0"/>
        <w:adjustRightInd w:val="0"/>
        <w:spacing w:after="0" w:line="240" w:lineRule="auto"/>
        <w:rPr>
          <w:rFonts w:ascii="EvelethCleanRegular" w:hAnsi="EvelethCleanRegular" w:cs="EvelethCleanRegular"/>
          <w:color w:val="58595B"/>
          <w:sz w:val="40"/>
          <w:szCs w:val="40"/>
        </w:rPr>
      </w:pPr>
    </w:p>
    <w:p w:rsidR="00405186" w:rsidRDefault="00623B80" w:rsidP="00623B80">
      <w:pPr>
        <w:autoSpaceDE w:val="0"/>
        <w:autoSpaceDN w:val="0"/>
        <w:adjustRightInd w:val="0"/>
        <w:spacing w:after="0" w:line="240" w:lineRule="auto"/>
        <w:jc w:val="center"/>
        <w:rPr>
          <w:rFonts w:ascii="PlutoSansBold" w:hAnsi="PlutoSansBold" w:cs="PlutoSansBold"/>
          <w:b/>
          <w:bCs/>
          <w:color w:val="CADD5D"/>
          <w:sz w:val="28"/>
          <w:szCs w:val="28"/>
        </w:rPr>
      </w:pPr>
      <w:r>
        <w:rPr>
          <w:rFonts w:ascii="CoreMellow67CnBold" w:hAnsi="CoreMellow67CnBold" w:cs="CoreMellow67CnBold"/>
          <w:b/>
          <w:bCs/>
          <w:color w:val="CADD5D"/>
          <w:sz w:val="32"/>
          <w:szCs w:val="32"/>
        </w:rPr>
        <w:t xml:space="preserve">The </w:t>
      </w:r>
      <w:proofErr w:type="spellStart"/>
      <w:r>
        <w:rPr>
          <w:rFonts w:ascii="CoreMellow67CnBold" w:hAnsi="CoreMellow67CnBold" w:cs="CoreMellow67CnBold"/>
          <w:b/>
          <w:bCs/>
          <w:color w:val="CADD5D"/>
          <w:sz w:val="32"/>
          <w:szCs w:val="32"/>
        </w:rPr>
        <w:t>DoseRx</w:t>
      </w:r>
      <w:proofErr w:type="spellEnd"/>
      <w:r>
        <w:rPr>
          <w:rFonts w:ascii="CoreMellow67CnBold" w:hAnsi="CoreMellow67CnBold" w:cs="CoreMellow67CnBold"/>
          <w:b/>
          <w:bCs/>
          <w:color w:val="CADD5D"/>
          <w:sz w:val="32"/>
          <w:szCs w:val="32"/>
        </w:rPr>
        <w:t xml:space="preserve"> ecosystem helps independent pharmacy owners</w:t>
      </w:r>
      <w:r>
        <w:rPr>
          <w:rFonts w:ascii="CoreMellow67CnBold" w:hAnsi="CoreMellow67CnBold" w:cs="CoreMellow67CnBold"/>
          <w:b/>
          <w:bCs/>
          <w:color w:val="CADD5D"/>
          <w:sz w:val="32"/>
          <w:szCs w:val="32"/>
        </w:rPr>
        <w:t xml:space="preserve"> </w:t>
      </w:r>
      <w:r>
        <w:rPr>
          <w:rFonts w:ascii="CoreMellow67CnBold" w:hAnsi="CoreMellow67CnBold" w:cs="CoreMellow67CnBold"/>
          <w:b/>
          <w:bCs/>
          <w:color w:val="CADD5D"/>
          <w:sz w:val="32"/>
          <w:szCs w:val="32"/>
        </w:rPr>
        <w:t>thrive by generating more revenue and greater profitability</w:t>
      </w:r>
      <w:r>
        <w:rPr>
          <w:rFonts w:ascii="PlutoSansBold" w:hAnsi="PlutoSansBold" w:cs="PlutoSansBold"/>
          <w:b/>
          <w:bCs/>
          <w:color w:val="CADD5D"/>
          <w:sz w:val="28"/>
          <w:szCs w:val="28"/>
        </w:rPr>
        <w:t>.</w:t>
      </w:r>
    </w:p>
    <w:p w:rsidR="00623B80" w:rsidRDefault="00623B80" w:rsidP="00623B80">
      <w:pPr>
        <w:autoSpaceDE w:val="0"/>
        <w:autoSpaceDN w:val="0"/>
        <w:adjustRightInd w:val="0"/>
        <w:spacing w:after="0" w:line="240" w:lineRule="auto"/>
        <w:jc w:val="center"/>
        <w:rPr>
          <w:rFonts w:ascii="PlutoSansBold" w:hAnsi="PlutoSansBold" w:cs="PlutoSansBold"/>
          <w:b/>
          <w:bCs/>
          <w:color w:val="CADD5D"/>
          <w:sz w:val="28"/>
          <w:szCs w:val="28"/>
        </w:rPr>
      </w:pPr>
    </w:p>
    <w:p w:rsidR="001F1124" w:rsidRDefault="001F1124" w:rsidP="00623B80">
      <w:pPr>
        <w:autoSpaceDE w:val="0"/>
        <w:autoSpaceDN w:val="0"/>
        <w:adjustRightInd w:val="0"/>
        <w:spacing w:after="0" w:line="240" w:lineRule="auto"/>
        <w:jc w:val="center"/>
        <w:rPr>
          <w:rFonts w:ascii="PlutoSansBold" w:hAnsi="PlutoSansBold" w:cs="PlutoSansBold"/>
          <w:b/>
          <w:bCs/>
          <w:color w:val="CADD5D"/>
          <w:sz w:val="28"/>
          <w:szCs w:val="28"/>
        </w:rPr>
      </w:pPr>
    </w:p>
    <w:p w:rsidR="00623B80" w:rsidRDefault="00623B80" w:rsidP="00623B80">
      <w:pPr>
        <w:autoSpaceDE w:val="0"/>
        <w:autoSpaceDN w:val="0"/>
        <w:adjustRightInd w:val="0"/>
        <w:spacing w:after="0" w:line="240" w:lineRule="auto"/>
        <w:jc w:val="center"/>
        <w:rPr>
          <w:rFonts w:ascii="PlutoSansBold" w:hAnsi="PlutoSansBold" w:cs="PlutoSansBold"/>
          <w:b/>
          <w:bCs/>
          <w:color w:val="CADD5D"/>
          <w:sz w:val="28"/>
          <w:szCs w:val="28"/>
        </w:rPr>
      </w:pPr>
      <w:r>
        <w:rPr>
          <w:rFonts w:ascii="PlutoSansBold" w:hAnsi="PlutoSansBold" w:cs="PlutoSansBold"/>
          <w:b/>
          <w:bCs/>
          <w:noProof/>
          <w:color w:val="CADD5D"/>
          <w:sz w:val="28"/>
          <w:szCs w:val="28"/>
        </w:rPr>
        <w:drawing>
          <wp:inline distT="0" distB="0" distL="0" distR="0">
            <wp:extent cx="5943600" cy="1713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DoseRxPharmacyEcosystem_V3_2018030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13865"/>
                    </a:xfrm>
                    <a:prstGeom prst="rect">
                      <a:avLst/>
                    </a:prstGeom>
                  </pic:spPr>
                </pic:pic>
              </a:graphicData>
            </a:graphic>
          </wp:inline>
        </w:drawing>
      </w:r>
    </w:p>
    <w:p w:rsidR="001F1124" w:rsidRDefault="001F1124" w:rsidP="00623B80">
      <w:pPr>
        <w:autoSpaceDE w:val="0"/>
        <w:autoSpaceDN w:val="0"/>
        <w:adjustRightInd w:val="0"/>
        <w:spacing w:after="0" w:line="360" w:lineRule="auto"/>
        <w:rPr>
          <w:rFonts w:ascii="Core Mellow 77 Cn ExtraBold" w:hAnsi="Core Mellow 77 Cn ExtraBold"/>
        </w:rPr>
      </w:pPr>
    </w:p>
    <w:p w:rsidR="001F1124" w:rsidRDefault="001F1124" w:rsidP="00623B80">
      <w:pPr>
        <w:autoSpaceDE w:val="0"/>
        <w:autoSpaceDN w:val="0"/>
        <w:adjustRightInd w:val="0"/>
        <w:spacing w:after="0" w:line="360" w:lineRule="auto"/>
        <w:rPr>
          <w:rFonts w:ascii="Core Mellow 77 Cn ExtraBold" w:hAnsi="Core Mellow 77 Cn ExtraBold"/>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77 Cn ExtraBold" w:hAnsi="Core Mellow 77 Cn ExtraBold"/>
          <w:sz w:val="24"/>
          <w:szCs w:val="24"/>
        </w:rPr>
        <w:t>GENOA, IL (12 March 2018):</w:t>
      </w:r>
      <w:r w:rsidRPr="00106946">
        <w:rPr>
          <w:rFonts w:ascii="Core Mellow 57 Cn Medium" w:hAnsi="Core Mellow 57 Cn Medium"/>
          <w:sz w:val="24"/>
          <w:szCs w:val="24"/>
        </w:rPr>
        <w:t xml:space="preserve">  The brainchild of Parag Maniar — a registered pharmacist and owner of two independent pharmacies —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is a healthcare ecosystem that helps independent pharmacy owners combat “the prescription reimbursement blues” due to below-cost reimbursements, and 10 years of flat net margins; and compete with large chain stores and online retailers while saving the consumer money on their prescription drugs.</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With 92% of an independent pharmacy’s revenues derived from prescription drugs Parag was tired of the unpredictable PBM </w:t>
      </w:r>
      <w:proofErr w:type="spellStart"/>
      <w:r w:rsidRPr="00106946">
        <w:rPr>
          <w:rFonts w:ascii="Core Mellow 57 Cn Medium" w:hAnsi="Core Mellow 57 Cn Medium"/>
          <w:sz w:val="24"/>
          <w:szCs w:val="24"/>
        </w:rPr>
        <w:t>clawbacks</w:t>
      </w:r>
      <w:proofErr w:type="spellEnd"/>
      <w:r w:rsidRPr="00106946">
        <w:rPr>
          <w:rFonts w:ascii="Core Mellow 57 Cn Medium" w:hAnsi="Core Mellow 57 Cn Medium"/>
          <w:sz w:val="24"/>
          <w:szCs w:val="24"/>
        </w:rPr>
        <w:t xml:space="preserve">, DIR fees, and other fees, so he started formulating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ecosystem in 2015. His mission was to help local independent pharmacies survive and thrive in today’s highly competitive healthcare ecosystem by generating more profit from increased cash prescription sales, front-end product sales, and lower credit card processing fees.</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lastRenderedPageBreak/>
        <w:t xml:space="preserve">In 2016, Parag started testing of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concept by investing in a marketing campaign for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Cash Club — a cash prescription savings program — to a retirement community of 9,000 people. It generated a 20% increase in revenue with a 5% growth in profit margin.</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Using data from the NCPA 2017 Digest, that was </w:t>
      </w:r>
      <w:r w:rsidRPr="00254614">
        <w:rPr>
          <w:rFonts w:ascii="Core Mellow 77 Cn ExtraBold" w:hAnsi="Core Mellow 77 Cn ExtraBold"/>
          <w:color w:val="FFC000"/>
          <w:sz w:val="24"/>
          <w:szCs w:val="24"/>
        </w:rPr>
        <w:t>a nearly $40,000 gain in profit</w:t>
      </w:r>
      <w:r w:rsidRPr="00106946">
        <w:rPr>
          <w:rFonts w:ascii="Core Mellow 57 Cn Medium" w:hAnsi="Core Mellow 57 Cn Medium"/>
          <w:sz w:val="24"/>
          <w:szCs w:val="24"/>
        </w:rPr>
        <w:t xml:space="preserve"> for the average independent pharmacy generating $3.619 million in revenues.</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Since the test,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ecosystem has grown to include the following for the pharmacy owner: front-end product savings, a cash pricing tool, a marketing platform, and an educational resource center.</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106946" w:rsidP="00623B80">
      <w:pPr>
        <w:autoSpaceDE w:val="0"/>
        <w:autoSpaceDN w:val="0"/>
        <w:adjustRightInd w:val="0"/>
        <w:spacing w:after="0" w:line="360" w:lineRule="auto"/>
        <w:rPr>
          <w:rFonts w:ascii="Core Mellow 57 Cn Medium" w:hAnsi="Core Mellow 57 Cn Medium"/>
          <w:sz w:val="24"/>
          <w:szCs w:val="24"/>
        </w:rPr>
      </w:pPr>
      <w:r>
        <w:rPr>
          <w:rFonts w:ascii="PlutoSansBold" w:hAnsi="PlutoSansBold" w:cs="PlutoSansBold"/>
          <w:b/>
          <w:bCs/>
          <w:noProof/>
          <w:color w:val="CADD5D"/>
          <w:sz w:val="28"/>
          <w:szCs w:val="28"/>
        </w:rPr>
        <w:drawing>
          <wp:anchor distT="0" distB="0" distL="114300" distR="274320" simplePos="0" relativeHeight="251658240" behindDoc="0" locked="0" layoutInCell="1" allowOverlap="0" wp14:anchorId="4F1E845B">
            <wp:simplePos x="0" y="0"/>
            <wp:positionH relativeFrom="column">
              <wp:posOffset>0</wp:posOffset>
            </wp:positionH>
            <wp:positionV relativeFrom="paragraph">
              <wp:posOffset>0</wp:posOffset>
            </wp:positionV>
            <wp:extent cx="841248" cy="10332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DoseRxPharmacyEcosystem_V3_20180307.png"/>
                    <pic:cNvPicPr/>
                  </pic:nvPicPr>
                  <pic:blipFill rotWithShape="1">
                    <a:blip r:embed="rId5" cstate="print">
                      <a:extLst>
                        <a:ext uri="{28A0092B-C50C-407E-A947-70E740481C1C}">
                          <a14:useLocalDpi xmlns:a14="http://schemas.microsoft.com/office/drawing/2010/main" val="0"/>
                        </a:ext>
                      </a:extLst>
                    </a:blip>
                    <a:srcRect r="76474"/>
                    <a:stretch/>
                  </pic:blipFill>
                  <pic:spPr bwMode="auto">
                    <a:xfrm>
                      <a:off x="0" y="0"/>
                      <a:ext cx="841248"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B80" w:rsidRPr="00106946">
        <w:rPr>
          <w:rFonts w:ascii="Core Mellow 57 Cn Medium" w:hAnsi="Core Mellow 57 Cn Medium"/>
          <w:sz w:val="24"/>
          <w:szCs w:val="24"/>
        </w:rPr>
        <w:t xml:space="preserve">The </w:t>
      </w:r>
      <w:proofErr w:type="spellStart"/>
      <w:r w:rsidR="00623B80" w:rsidRPr="00106946">
        <w:rPr>
          <w:rFonts w:ascii="Core Mellow 57 Cn Medium" w:hAnsi="Core Mellow 57 Cn Medium"/>
          <w:sz w:val="24"/>
          <w:szCs w:val="24"/>
        </w:rPr>
        <w:t>DoseRx</w:t>
      </w:r>
      <w:proofErr w:type="spellEnd"/>
      <w:r w:rsidR="00623B80" w:rsidRPr="00106946">
        <w:rPr>
          <w:rFonts w:ascii="Core Mellow 57 Cn Medium" w:hAnsi="Core Mellow 57 Cn Medium"/>
          <w:sz w:val="24"/>
          <w:szCs w:val="24"/>
        </w:rPr>
        <w:t xml:space="preserve"> </w:t>
      </w:r>
      <w:r w:rsidR="00623B80" w:rsidRPr="00106946">
        <w:rPr>
          <w:rFonts w:ascii="Core Mellow 77 Cn ExtraBold" w:hAnsi="Core Mellow 77 Cn ExtraBold"/>
          <w:sz w:val="24"/>
          <w:szCs w:val="24"/>
        </w:rPr>
        <w:t>front-end product savings</w:t>
      </w:r>
      <w:r w:rsidR="00623B80" w:rsidRPr="00106946">
        <w:rPr>
          <w:rFonts w:ascii="Core Mellow 57 Cn Medium" w:hAnsi="Core Mellow 57 Cn Medium"/>
          <w:sz w:val="24"/>
          <w:szCs w:val="24"/>
        </w:rPr>
        <w:t xml:space="preserve"> allows the independent pharmacy owner to compete with online retailer and big chain store pricing. Members will receive 30% - 70% discounts on over 10,000 front-end products and several 4-foot planograms in Health, Beauty &amp; Wellness, Home Health Care, and General Merchandising categories. </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Our front-end product savings will go a long way in helping a pharmacy achieve a 3% or more reduction in their cost of goods sold that can increase net profit by 79%, according to </w:t>
      </w:r>
      <w:proofErr w:type="spellStart"/>
      <w:r w:rsidRPr="00106946">
        <w:rPr>
          <w:rFonts w:ascii="Core Mellow 57 Cn Medium" w:hAnsi="Core Mellow 57 Cn Medium"/>
          <w:sz w:val="24"/>
          <w:szCs w:val="24"/>
        </w:rPr>
        <w:t>Upsher</w:t>
      </w:r>
      <w:proofErr w:type="spellEnd"/>
      <w:r w:rsidRPr="00106946">
        <w:rPr>
          <w:rFonts w:ascii="Core Mellow 57 Cn Medium" w:hAnsi="Core Mellow 57 Cn Medium"/>
          <w:sz w:val="24"/>
          <w:szCs w:val="24"/>
        </w:rPr>
        <w:t>-Smith Laboratories, The Front-End Opportunity: Capitalizing on the Highly-Profitable Pharmacy Front-End report.</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Another way a pharmacy can reduce their COGS is through lower credit card processing fees. Working with our partner, First Data, members can receive discounts on their credit and debit card processing. Considering 75% of consumers pay using credit or debit cards, a reduction in those fees can add to the pharmacy’s bottom line. </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Each member will </w:t>
      </w:r>
      <w:r w:rsidRPr="00AA2B40">
        <w:rPr>
          <w:rFonts w:ascii="Core Mellow 77 Cn ExtraBold" w:hAnsi="Core Mellow 77 Cn ExtraBold"/>
          <w:color w:val="FFC000"/>
          <w:sz w:val="24"/>
          <w:szCs w:val="24"/>
        </w:rPr>
        <w:t>receive a free audit of their processing statements</w:t>
      </w:r>
      <w:r w:rsidRPr="00106946">
        <w:rPr>
          <w:rFonts w:ascii="Core Mellow 57 Cn Medium" w:hAnsi="Core Mellow 57 Cn Medium"/>
          <w:sz w:val="24"/>
          <w:szCs w:val="24"/>
        </w:rPr>
        <w:t xml:space="preserve"> to determine the feasibility of switching from their current processor. All they need to do is send us two (2) monthly statements, and our partner will do the rest.</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Default="00106946" w:rsidP="00623B80">
      <w:pPr>
        <w:autoSpaceDE w:val="0"/>
        <w:autoSpaceDN w:val="0"/>
        <w:adjustRightInd w:val="0"/>
        <w:spacing w:after="0" w:line="360" w:lineRule="auto"/>
        <w:rPr>
          <w:rFonts w:ascii="Core Mellow 57 Cn Medium" w:hAnsi="Core Mellow 57 Cn Medium"/>
          <w:sz w:val="24"/>
          <w:szCs w:val="24"/>
        </w:rPr>
      </w:pPr>
      <w:r>
        <w:rPr>
          <w:rFonts w:ascii="PlutoSansBold" w:hAnsi="PlutoSansBold" w:cs="PlutoSansBold"/>
          <w:b/>
          <w:bCs/>
          <w:noProof/>
          <w:color w:val="CADD5D"/>
          <w:sz w:val="28"/>
          <w:szCs w:val="28"/>
        </w:rPr>
        <w:lastRenderedPageBreak/>
        <w:drawing>
          <wp:anchor distT="0" distB="0" distL="114300" distR="274320" simplePos="0" relativeHeight="251659264" behindDoc="0" locked="0" layoutInCell="1" allowOverlap="1" wp14:anchorId="4F1E845B">
            <wp:simplePos x="0" y="0"/>
            <wp:positionH relativeFrom="column">
              <wp:posOffset>0</wp:posOffset>
            </wp:positionH>
            <wp:positionV relativeFrom="paragraph">
              <wp:posOffset>0</wp:posOffset>
            </wp:positionV>
            <wp:extent cx="886968" cy="103327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DoseRxPharmacyEcosystem_V3_20180307.png"/>
                    <pic:cNvPicPr/>
                  </pic:nvPicPr>
                  <pic:blipFill rotWithShape="1">
                    <a:blip r:embed="rId6" cstate="print">
                      <a:extLst>
                        <a:ext uri="{28A0092B-C50C-407E-A947-70E740481C1C}">
                          <a14:useLocalDpi xmlns:a14="http://schemas.microsoft.com/office/drawing/2010/main" val="0"/>
                        </a:ext>
                      </a:extLst>
                    </a:blip>
                    <a:srcRect l="24936" r="50320"/>
                    <a:stretch/>
                  </pic:blipFill>
                  <pic:spPr bwMode="auto">
                    <a:xfrm>
                      <a:off x="0" y="0"/>
                      <a:ext cx="886968"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B80" w:rsidRPr="00106946">
        <w:rPr>
          <w:rFonts w:ascii="Core Mellow 57 Cn Medium" w:hAnsi="Core Mellow 57 Cn Medium"/>
          <w:sz w:val="24"/>
          <w:szCs w:val="24"/>
        </w:rPr>
        <w:t xml:space="preserve">By using DoseRx.com as a </w:t>
      </w:r>
      <w:r w:rsidR="00623B80" w:rsidRPr="00106946">
        <w:rPr>
          <w:rFonts w:ascii="Core Mellow 77 Cn ExtraBold" w:hAnsi="Core Mellow 77 Cn ExtraBold"/>
          <w:sz w:val="24"/>
          <w:szCs w:val="24"/>
        </w:rPr>
        <w:t>pricing tool</w:t>
      </w:r>
      <w:r w:rsidR="00623B80" w:rsidRPr="00106946">
        <w:rPr>
          <w:rFonts w:ascii="Core Mellow 57 Cn Medium" w:hAnsi="Core Mellow 57 Cn Medium"/>
          <w:sz w:val="24"/>
          <w:szCs w:val="24"/>
        </w:rPr>
        <w:t xml:space="preserve">, member pharmacy owners can eliminate the stress of trying to price cash-based prescriptions knowing that all </w:t>
      </w:r>
      <w:proofErr w:type="spellStart"/>
      <w:r w:rsidR="00623B80" w:rsidRPr="00106946">
        <w:rPr>
          <w:rFonts w:ascii="Core Mellow 57 Cn Medium" w:hAnsi="Core Mellow 57 Cn Medium"/>
          <w:sz w:val="24"/>
          <w:szCs w:val="24"/>
        </w:rPr>
        <w:t>DoseRx</w:t>
      </w:r>
      <w:proofErr w:type="spellEnd"/>
      <w:r w:rsidR="00623B80" w:rsidRPr="00106946">
        <w:rPr>
          <w:rFonts w:ascii="Core Mellow 57 Cn Medium" w:hAnsi="Core Mellow 57 Cn Medium"/>
          <w:sz w:val="24"/>
          <w:szCs w:val="24"/>
        </w:rPr>
        <w:t xml:space="preserve"> members will sell the prescription at the same price and that the price will be competitive with those offered by chain drugstores without sacrificing profit margin. Furthermore, they and their staff members can quickly respond to consumer pricing inquiries. </w:t>
      </w:r>
    </w:p>
    <w:p w:rsidR="00254614" w:rsidRPr="00106946" w:rsidRDefault="00254614" w:rsidP="00623B80">
      <w:pPr>
        <w:autoSpaceDE w:val="0"/>
        <w:autoSpaceDN w:val="0"/>
        <w:adjustRightInd w:val="0"/>
        <w:spacing w:after="0" w:line="360" w:lineRule="auto"/>
        <w:rPr>
          <w:rFonts w:ascii="Core Mellow 57 Cn Medium" w:hAnsi="Core Mellow 57 Cn Medium"/>
          <w:sz w:val="24"/>
          <w:szCs w:val="24"/>
        </w:rPr>
      </w:pPr>
    </w:p>
    <w:p w:rsidR="00254614" w:rsidRDefault="00254614" w:rsidP="00623B80">
      <w:pPr>
        <w:autoSpaceDE w:val="0"/>
        <w:autoSpaceDN w:val="0"/>
        <w:adjustRightInd w:val="0"/>
        <w:spacing w:after="0" w:line="360" w:lineRule="auto"/>
        <w:rPr>
          <w:rFonts w:ascii="Core Mellow 57 Cn Medium" w:hAnsi="Core Mellow 57 Cn Medium"/>
          <w:sz w:val="24"/>
          <w:szCs w:val="24"/>
        </w:rPr>
      </w:pPr>
      <w:r>
        <w:rPr>
          <w:rFonts w:ascii="Core Mellow 57 Cn Medium" w:hAnsi="Core Mellow 57 Cn Medium"/>
          <w:noProof/>
          <w:sz w:val="24"/>
          <w:szCs w:val="24"/>
        </w:rPr>
        <w:drawing>
          <wp:inline distT="0" distB="0" distL="0" distR="0" wp14:anchorId="546CA139" wp14:editId="6671E7EA">
            <wp:extent cx="5943600" cy="243717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serx-marketing-platform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437176"/>
                    </a:xfrm>
                    <a:prstGeom prst="rect">
                      <a:avLst/>
                    </a:prstGeom>
                  </pic:spPr>
                </pic:pic>
              </a:graphicData>
            </a:graphic>
          </wp:inline>
        </w:drawing>
      </w:r>
    </w:p>
    <w:p w:rsidR="00254614" w:rsidRPr="00106946" w:rsidRDefault="00254614"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106946" w:rsidP="00623B80">
      <w:pPr>
        <w:autoSpaceDE w:val="0"/>
        <w:autoSpaceDN w:val="0"/>
        <w:adjustRightInd w:val="0"/>
        <w:spacing w:after="0" w:line="360" w:lineRule="auto"/>
        <w:rPr>
          <w:rFonts w:ascii="Core Mellow 57 Cn Medium" w:hAnsi="Core Mellow 57 Cn Medium"/>
          <w:sz w:val="24"/>
          <w:szCs w:val="24"/>
        </w:rPr>
      </w:pPr>
      <w:r>
        <w:rPr>
          <w:rFonts w:ascii="PlutoSansBold" w:hAnsi="PlutoSansBold" w:cs="PlutoSansBold"/>
          <w:b/>
          <w:bCs/>
          <w:noProof/>
          <w:color w:val="CADD5D"/>
          <w:sz w:val="28"/>
          <w:szCs w:val="28"/>
        </w:rPr>
        <w:drawing>
          <wp:anchor distT="0" distB="0" distL="114300" distR="274320" simplePos="0" relativeHeight="251660288" behindDoc="0" locked="0" layoutInCell="1" allowOverlap="1" wp14:anchorId="4F1E845B">
            <wp:simplePos x="0" y="0"/>
            <wp:positionH relativeFrom="column">
              <wp:posOffset>0</wp:posOffset>
            </wp:positionH>
            <wp:positionV relativeFrom="paragraph">
              <wp:posOffset>1270</wp:posOffset>
            </wp:positionV>
            <wp:extent cx="749808" cy="103327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DoseRxPharmacyEcosystem_V3_20180307.png"/>
                    <pic:cNvPicPr/>
                  </pic:nvPicPr>
                  <pic:blipFill rotWithShape="1">
                    <a:blip r:embed="rId8" cstate="print">
                      <a:extLst>
                        <a:ext uri="{28A0092B-C50C-407E-A947-70E740481C1C}">
                          <a14:useLocalDpi xmlns:a14="http://schemas.microsoft.com/office/drawing/2010/main" val="0"/>
                        </a:ext>
                      </a:extLst>
                    </a:blip>
                    <a:srcRect l="50320" r="28846"/>
                    <a:stretch/>
                  </pic:blipFill>
                  <pic:spPr bwMode="auto">
                    <a:xfrm>
                      <a:off x="0" y="0"/>
                      <a:ext cx="749808"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623B80" w:rsidRPr="00106946">
        <w:rPr>
          <w:rFonts w:ascii="Core Mellow 57 Cn Medium" w:hAnsi="Core Mellow 57 Cn Medium"/>
          <w:sz w:val="24"/>
          <w:szCs w:val="24"/>
        </w:rPr>
        <w:t>DoseRx</w:t>
      </w:r>
      <w:proofErr w:type="spellEnd"/>
      <w:r w:rsidR="00623B80" w:rsidRPr="00106946">
        <w:rPr>
          <w:rFonts w:ascii="Core Mellow 57 Cn Medium" w:hAnsi="Core Mellow 57 Cn Medium"/>
          <w:sz w:val="24"/>
          <w:szCs w:val="24"/>
        </w:rPr>
        <w:t xml:space="preserve"> is an integrated </w:t>
      </w:r>
      <w:r w:rsidR="00623B80" w:rsidRPr="00106946">
        <w:rPr>
          <w:rFonts w:ascii="Core Mellow 77 Cn ExtraBold" w:hAnsi="Core Mellow 77 Cn ExtraBold"/>
          <w:sz w:val="24"/>
          <w:szCs w:val="24"/>
        </w:rPr>
        <w:t>marketing communications platform</w:t>
      </w:r>
      <w:r w:rsidR="00623B80" w:rsidRPr="00106946">
        <w:rPr>
          <w:rFonts w:ascii="Core Mellow 57 Cn Medium" w:hAnsi="Core Mellow 57 Cn Medium"/>
          <w:sz w:val="24"/>
          <w:szCs w:val="24"/>
        </w:rPr>
        <w:t xml:space="preserve"> designed to drive more consumers to your pharmacy. </w:t>
      </w:r>
      <w:proofErr w:type="spellStart"/>
      <w:r w:rsidR="00623B80" w:rsidRPr="00106946">
        <w:rPr>
          <w:rFonts w:ascii="Core Mellow 57 Cn Medium" w:hAnsi="Core Mellow 57 Cn Medium"/>
          <w:sz w:val="24"/>
          <w:szCs w:val="24"/>
        </w:rPr>
        <w:t>DoseRx</w:t>
      </w:r>
      <w:proofErr w:type="spellEnd"/>
      <w:r w:rsidR="00623B80" w:rsidRPr="00106946">
        <w:rPr>
          <w:rFonts w:ascii="Core Mellow 57 Cn Medium" w:hAnsi="Core Mellow 57 Cn Medium"/>
          <w:sz w:val="24"/>
          <w:szCs w:val="24"/>
        </w:rPr>
        <w:t xml:space="preserve"> will use a range of traditional and digital marketing channels to educate the consumer and drive them to the </w:t>
      </w:r>
      <w:proofErr w:type="spellStart"/>
      <w:r w:rsidR="00623B80" w:rsidRPr="00106946">
        <w:rPr>
          <w:rFonts w:ascii="Core Mellow 57 Cn Medium" w:hAnsi="Core Mellow 57 Cn Medium"/>
          <w:sz w:val="24"/>
          <w:szCs w:val="24"/>
        </w:rPr>
        <w:t>DoseRx</w:t>
      </w:r>
      <w:proofErr w:type="spellEnd"/>
      <w:r w:rsidR="00623B80" w:rsidRPr="00106946">
        <w:rPr>
          <w:rFonts w:ascii="Core Mellow 57 Cn Medium" w:hAnsi="Core Mellow 57 Cn Medium"/>
          <w:sz w:val="24"/>
          <w:szCs w:val="24"/>
        </w:rPr>
        <w:t xml:space="preserve"> search engine/store locator and e-drugstore. Being listed as a member pharmacy increases the likelihood of the pharmacy maintaining and expanding their consumer base. </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Each member pharmacy will receive a comprehensive set of in-store marketing materials (POP displays, counter mats, employee t-shirts, window decals, tell-a-friend cards to name a few) designed to promote their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membership and to educate the consumer on the benefits of joining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Cash Club and purchasing front-of-store products from their local independent pharmacy.</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lastRenderedPageBreak/>
        <w:t xml:space="preserve">Additionally, on an a la carte or subscription basis member pharmacies, can purchase variety of marketing tools and services including, but not limited to, digital advertising design and media placement to further promote their pharmacy and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membership.</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402B00" w:rsidP="00623B80">
      <w:pPr>
        <w:autoSpaceDE w:val="0"/>
        <w:autoSpaceDN w:val="0"/>
        <w:adjustRightInd w:val="0"/>
        <w:spacing w:after="0" w:line="360" w:lineRule="auto"/>
        <w:rPr>
          <w:rFonts w:ascii="Core Mellow 57 Cn Medium" w:hAnsi="Core Mellow 57 Cn Medium"/>
          <w:sz w:val="24"/>
          <w:szCs w:val="24"/>
        </w:rPr>
      </w:pPr>
      <w:r>
        <w:rPr>
          <w:rFonts w:ascii="PlutoSansBold" w:hAnsi="PlutoSansBold" w:cs="PlutoSansBold"/>
          <w:b/>
          <w:bCs/>
          <w:noProof/>
          <w:color w:val="CADD5D"/>
          <w:sz w:val="28"/>
          <w:szCs w:val="28"/>
        </w:rPr>
        <w:drawing>
          <wp:anchor distT="0" distB="0" distL="114300" distR="274320" simplePos="0" relativeHeight="251661312" behindDoc="0" locked="0" layoutInCell="1" allowOverlap="1" wp14:anchorId="4F1E845B">
            <wp:simplePos x="0" y="0"/>
            <wp:positionH relativeFrom="column">
              <wp:posOffset>0</wp:posOffset>
            </wp:positionH>
            <wp:positionV relativeFrom="paragraph">
              <wp:posOffset>1270</wp:posOffset>
            </wp:positionV>
            <wp:extent cx="1006091" cy="1033272"/>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DoseRxPharmacyEcosystem_V3_20180307.png"/>
                    <pic:cNvPicPr/>
                  </pic:nvPicPr>
                  <pic:blipFill rotWithShape="1">
                    <a:blip r:embed="rId6" cstate="print">
                      <a:extLst>
                        <a:ext uri="{28A0092B-C50C-407E-A947-70E740481C1C}">
                          <a14:useLocalDpi xmlns:a14="http://schemas.microsoft.com/office/drawing/2010/main" val="0"/>
                        </a:ext>
                      </a:extLst>
                    </a:blip>
                    <a:srcRect l="71923"/>
                    <a:stretch/>
                  </pic:blipFill>
                  <pic:spPr bwMode="auto">
                    <a:xfrm>
                      <a:off x="0" y="0"/>
                      <a:ext cx="1006091" cy="103327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23B80" w:rsidRPr="00106946">
        <w:rPr>
          <w:rFonts w:ascii="Core Mellow 57 Cn Medium" w:hAnsi="Core Mellow 57 Cn Medium"/>
          <w:sz w:val="24"/>
          <w:szCs w:val="24"/>
        </w:rPr>
        <w:t xml:space="preserve">Last, but not least, </w:t>
      </w:r>
      <w:proofErr w:type="spellStart"/>
      <w:r w:rsidR="00623B80" w:rsidRPr="00106946">
        <w:rPr>
          <w:rFonts w:ascii="Core Mellow 57 Cn Medium" w:hAnsi="Core Mellow 57 Cn Medium"/>
          <w:sz w:val="24"/>
          <w:szCs w:val="24"/>
        </w:rPr>
        <w:t>DoseRx</w:t>
      </w:r>
      <w:proofErr w:type="spellEnd"/>
      <w:r w:rsidR="00623B80" w:rsidRPr="00106946">
        <w:rPr>
          <w:rFonts w:ascii="Core Mellow 57 Cn Medium" w:hAnsi="Core Mellow 57 Cn Medium"/>
          <w:sz w:val="24"/>
          <w:szCs w:val="24"/>
        </w:rPr>
        <w:t xml:space="preserve"> is an </w:t>
      </w:r>
      <w:r w:rsidR="00623B80" w:rsidRPr="00106946">
        <w:rPr>
          <w:rFonts w:ascii="Core Mellow 77 Cn ExtraBold" w:hAnsi="Core Mellow 77 Cn ExtraBold"/>
          <w:sz w:val="24"/>
          <w:szCs w:val="24"/>
        </w:rPr>
        <w:t>educational resource center</w:t>
      </w:r>
      <w:r w:rsidR="00623B80" w:rsidRPr="00106946">
        <w:rPr>
          <w:rFonts w:ascii="Core Mellow 57 Cn Medium" w:hAnsi="Core Mellow 57 Cn Medium"/>
          <w:sz w:val="24"/>
          <w:szCs w:val="24"/>
        </w:rPr>
        <w:t xml:space="preserve">. Here members will have access to a variety of educational resources like articles, videos, webinars, discussion groups and one-on-one counseling ─ all designed to help them run their pharmacy more efficiently and profitably. </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has four (4) membership packages.</w:t>
      </w:r>
    </w:p>
    <w:p w:rsidR="00623B80" w:rsidRPr="00106946" w:rsidRDefault="00F9729C" w:rsidP="00623B80">
      <w:pPr>
        <w:autoSpaceDE w:val="0"/>
        <w:autoSpaceDN w:val="0"/>
        <w:adjustRightInd w:val="0"/>
        <w:spacing w:after="0" w:line="360" w:lineRule="auto"/>
        <w:rPr>
          <w:rFonts w:ascii="Core Mellow 57 Cn Medium" w:hAnsi="Core Mellow 57 Cn Medium"/>
          <w:sz w:val="24"/>
          <w:szCs w:val="24"/>
        </w:rPr>
      </w:pPr>
      <w:r>
        <w:rPr>
          <w:rFonts w:ascii="Core Mellow 77 Cn ExtraBold" w:hAnsi="Core Mellow 77 Cn ExtraBold"/>
          <w:noProof/>
          <w:sz w:val="24"/>
          <w:szCs w:val="24"/>
        </w:rPr>
        <w:drawing>
          <wp:anchor distT="0" distB="0" distL="274320" distR="114300" simplePos="0" relativeHeight="251662336" behindDoc="0" locked="0" layoutInCell="1" allowOverlap="1">
            <wp:simplePos x="0" y="0"/>
            <wp:positionH relativeFrom="column">
              <wp:posOffset>4526280</wp:posOffset>
            </wp:positionH>
            <wp:positionV relativeFrom="paragraph">
              <wp:posOffset>182880</wp:posOffset>
            </wp:positionV>
            <wp:extent cx="1371600" cy="13690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DoseRxSpecialOffer_2018012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69060"/>
                    </a:xfrm>
                    <a:prstGeom prst="rect">
                      <a:avLst/>
                    </a:prstGeom>
                  </pic:spPr>
                </pic:pic>
              </a:graphicData>
            </a:graphic>
            <wp14:sizeRelH relativeFrom="margin">
              <wp14:pctWidth>0</wp14:pctWidth>
            </wp14:sizeRelH>
          </wp:anchor>
        </w:drawing>
      </w:r>
    </w:p>
    <w:p w:rsidR="00623B80" w:rsidRPr="00106946" w:rsidRDefault="00623B80" w:rsidP="00F9729C">
      <w:pPr>
        <w:autoSpaceDE w:val="0"/>
        <w:autoSpaceDN w:val="0"/>
        <w:adjustRightInd w:val="0"/>
        <w:spacing w:after="0" w:line="360" w:lineRule="auto"/>
        <w:rPr>
          <w:rFonts w:ascii="Core Mellow 57 Cn Medium" w:hAnsi="Core Mellow 57 Cn Medium"/>
          <w:sz w:val="24"/>
          <w:szCs w:val="24"/>
        </w:rPr>
      </w:pPr>
      <w:proofErr w:type="spellStart"/>
      <w:r w:rsidRPr="00AA2B40">
        <w:rPr>
          <w:rFonts w:ascii="Core Mellow 77 Cn ExtraBold" w:hAnsi="Core Mellow 77 Cn ExtraBold"/>
          <w:sz w:val="24"/>
          <w:szCs w:val="24"/>
        </w:rPr>
        <w:t>DoseRx</w:t>
      </w:r>
      <w:proofErr w:type="spellEnd"/>
      <w:r w:rsidRPr="00AA2B40">
        <w:rPr>
          <w:rFonts w:ascii="Core Mellow 77 Cn ExtraBold" w:hAnsi="Core Mellow 77 Cn ExtraBold"/>
          <w:sz w:val="24"/>
          <w:szCs w:val="24"/>
        </w:rPr>
        <w:t xml:space="preserve"> Basic</w:t>
      </w:r>
      <w:r w:rsidRPr="00106946">
        <w:rPr>
          <w:rFonts w:ascii="Core Mellow 57 Cn Medium" w:hAnsi="Core Mellow 57 Cn Medium"/>
          <w:sz w:val="24"/>
          <w:szCs w:val="24"/>
        </w:rPr>
        <w:t xml:space="preserve"> is designed for pharmacies who don’t have a front-of-store operation or those who just want to earn more profit from cash prescriptions. This plan’s investment is $199 per month. </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roofErr w:type="spellStart"/>
      <w:r w:rsidRPr="00AA2B40">
        <w:rPr>
          <w:rFonts w:ascii="Core Mellow 77 Cn ExtraBold" w:hAnsi="Core Mellow 77 Cn ExtraBold"/>
          <w:sz w:val="24"/>
          <w:szCs w:val="24"/>
        </w:rPr>
        <w:t>DoseRx</w:t>
      </w:r>
      <w:proofErr w:type="spellEnd"/>
      <w:r w:rsidRPr="00AA2B40">
        <w:rPr>
          <w:rFonts w:ascii="Core Mellow 77 Cn ExtraBold" w:hAnsi="Core Mellow 77 Cn ExtraBold"/>
          <w:sz w:val="24"/>
          <w:szCs w:val="24"/>
        </w:rPr>
        <w:t xml:space="preserve"> Bronze, Silver and Gold</w:t>
      </w:r>
      <w:r w:rsidRPr="00106946">
        <w:rPr>
          <w:rFonts w:ascii="Core Mellow 57 Cn Medium" w:hAnsi="Core Mellow 57 Cn Medium"/>
          <w:sz w:val="24"/>
          <w:szCs w:val="24"/>
        </w:rPr>
        <w:t xml:space="preserve"> plans are designed for full-service pharmacies who want to compete with large chains and online retailers, and generate more revenue and earn more profit from front-of-store sales along with increasing profitability through more cash prescription sales. These plans start at $299 per month.</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If pharmacy owners pay annually, they’ll </w:t>
      </w:r>
      <w:r w:rsidRPr="003916F9">
        <w:rPr>
          <w:rFonts w:ascii="Core Mellow 77 Cn ExtraBold" w:hAnsi="Core Mellow 77 Cn ExtraBold"/>
          <w:color w:val="FFC000"/>
          <w:sz w:val="24"/>
          <w:szCs w:val="24"/>
        </w:rPr>
        <w:t>receive a 10% discount</w:t>
      </w:r>
      <w:r w:rsidRPr="00106946">
        <w:rPr>
          <w:rFonts w:ascii="Core Mellow 57 Cn Medium" w:hAnsi="Core Mellow 57 Cn Medium"/>
          <w:sz w:val="24"/>
          <w:szCs w:val="24"/>
        </w:rPr>
        <w:t xml:space="preserve"> on the monthly subscription fee: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Basic is $2,149 and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Bronze, Silver, and Gold plans start at $3,229 annually.</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F9729C" w:rsidP="00623B80">
      <w:pPr>
        <w:autoSpaceDE w:val="0"/>
        <w:autoSpaceDN w:val="0"/>
        <w:adjustRightInd w:val="0"/>
        <w:spacing w:after="0" w:line="360" w:lineRule="auto"/>
        <w:rPr>
          <w:rFonts w:ascii="Core Mellow 57 Cn Medium" w:hAnsi="Core Mellow 57 Cn Medium"/>
          <w:sz w:val="24"/>
          <w:szCs w:val="24"/>
        </w:rPr>
      </w:pPr>
      <w:r>
        <w:rPr>
          <w:rFonts w:ascii="Core Mellow 57 Cn Medium" w:hAnsi="Core Mellow 57 Cn Medium"/>
          <w:noProof/>
          <w:sz w:val="24"/>
          <w:szCs w:val="24"/>
        </w:rPr>
        <w:drawing>
          <wp:anchor distT="0" distB="0" distL="274320" distR="114300" simplePos="0" relativeHeight="251663360" behindDoc="0" locked="0" layoutInCell="1" allowOverlap="1">
            <wp:simplePos x="0" y="0"/>
            <wp:positionH relativeFrom="column">
              <wp:posOffset>4511040</wp:posOffset>
            </wp:positionH>
            <wp:positionV relativeFrom="paragraph">
              <wp:posOffset>4445</wp:posOffset>
            </wp:positionV>
            <wp:extent cx="1371600" cy="136910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DoseRxBreakEven_V8_201804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69100"/>
                    </a:xfrm>
                    <a:prstGeom prst="rect">
                      <a:avLst/>
                    </a:prstGeom>
                  </pic:spPr>
                </pic:pic>
              </a:graphicData>
            </a:graphic>
            <wp14:sizeRelH relativeFrom="margin">
              <wp14:pctWidth>0</wp14:pctWidth>
            </wp14:sizeRelH>
          </wp:anchor>
        </w:drawing>
      </w:r>
      <w:r w:rsidR="00623B80" w:rsidRPr="00106946">
        <w:rPr>
          <w:rFonts w:ascii="Core Mellow 57 Cn Medium" w:hAnsi="Core Mellow 57 Cn Medium"/>
          <w:sz w:val="24"/>
          <w:szCs w:val="24"/>
        </w:rPr>
        <w:t xml:space="preserve">For a limited time, </w:t>
      </w:r>
      <w:r w:rsidR="00623B80" w:rsidRPr="003916F9">
        <w:rPr>
          <w:rFonts w:ascii="Core Mellow 77 Cn ExtraBold" w:hAnsi="Core Mellow 77 Cn ExtraBold"/>
          <w:sz w:val="24"/>
          <w:szCs w:val="24"/>
        </w:rPr>
        <w:t>until July 1st</w:t>
      </w:r>
      <w:r w:rsidR="00623B80" w:rsidRPr="00106946">
        <w:rPr>
          <w:rFonts w:ascii="Core Mellow 57 Cn Medium" w:hAnsi="Core Mellow 57 Cn Medium"/>
          <w:sz w:val="24"/>
          <w:szCs w:val="24"/>
        </w:rPr>
        <w:t xml:space="preserve">, independent pharmacy owners can join the </w:t>
      </w:r>
      <w:proofErr w:type="spellStart"/>
      <w:r w:rsidR="00623B80" w:rsidRPr="00106946">
        <w:rPr>
          <w:rFonts w:ascii="Core Mellow 57 Cn Medium" w:hAnsi="Core Mellow 57 Cn Medium"/>
          <w:sz w:val="24"/>
          <w:szCs w:val="24"/>
        </w:rPr>
        <w:t>DoseRx</w:t>
      </w:r>
      <w:proofErr w:type="spellEnd"/>
      <w:r w:rsidR="00623B80" w:rsidRPr="00106946">
        <w:rPr>
          <w:rFonts w:ascii="Core Mellow 57 Cn Medium" w:hAnsi="Core Mellow 57 Cn Medium"/>
          <w:sz w:val="24"/>
          <w:szCs w:val="24"/>
        </w:rPr>
        <w:t xml:space="preserve"> ecosystem at </w:t>
      </w:r>
      <w:r w:rsidR="00623B80" w:rsidRPr="003916F9">
        <w:rPr>
          <w:rFonts w:ascii="Core Mellow 77 Cn ExtraBold" w:hAnsi="Core Mellow 77 Cn ExtraBold"/>
          <w:sz w:val="24"/>
          <w:szCs w:val="24"/>
        </w:rPr>
        <w:t>50% off</w:t>
      </w:r>
      <w:r w:rsidR="00623B80" w:rsidRPr="00106946">
        <w:rPr>
          <w:rFonts w:ascii="Core Mellow 57 Cn Medium" w:hAnsi="Core Mellow 57 Cn Medium"/>
          <w:sz w:val="24"/>
          <w:szCs w:val="24"/>
        </w:rPr>
        <w:t xml:space="preserve"> the monthly and annual subscription fee for the first year. The first 100 pharmacies who become members will get their 2</w:t>
      </w:r>
      <w:r w:rsidR="00623B80" w:rsidRPr="003916F9">
        <w:rPr>
          <w:rFonts w:ascii="Core Mellow 57 Cn Medium" w:hAnsi="Core Mellow 57 Cn Medium"/>
          <w:sz w:val="24"/>
          <w:szCs w:val="24"/>
          <w:vertAlign w:val="superscript"/>
        </w:rPr>
        <w:t>nd</w:t>
      </w:r>
      <w:r w:rsidR="00623B80" w:rsidRPr="00106946">
        <w:rPr>
          <w:rFonts w:ascii="Core Mellow 57 Cn Medium" w:hAnsi="Core Mellow 57 Cn Medium"/>
          <w:sz w:val="24"/>
          <w:szCs w:val="24"/>
        </w:rPr>
        <w:t xml:space="preserve"> year at 50% off as well.</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See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Member Plan flyer for details.</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lastRenderedPageBreak/>
        <w:t xml:space="preserve">In each package, a pharmacy owner receives the following benefits when they join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r w:rsidRPr="00106946">
        <w:rPr>
          <w:rFonts w:ascii="Core Mellow 57 Cn Medium" w:hAnsi="Core Mellow 57 Cn Medium"/>
          <w:sz w:val="24"/>
          <w:szCs w:val="24"/>
        </w:rPr>
        <w:t>•</w:t>
      </w:r>
      <w:r w:rsidRPr="00106946">
        <w:rPr>
          <w:rFonts w:ascii="Core Mellow 57 Cn Medium" w:hAnsi="Core Mellow 57 Cn Medium"/>
          <w:sz w:val="24"/>
          <w:szCs w:val="24"/>
        </w:rPr>
        <w:tab/>
        <w:t xml:space="preserve">A basic listing in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prescription price search engine and store locator.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Bronze, Silver, and Gold plans members also receive a basic listing in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e-drugstore — launching soon.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Silver members receive an enhanced profile, and Gold members get a featured listing which puts them at the top of the consumer’s search results. Gold member also receive a medium rectangle ad on their profile.</w:t>
      </w: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r w:rsidRPr="00106946">
        <w:rPr>
          <w:rFonts w:ascii="Core Mellow 57 Cn Medium" w:hAnsi="Core Mellow 57 Cn Medium"/>
          <w:sz w:val="24"/>
          <w:szCs w:val="24"/>
        </w:rPr>
        <w:t>•</w:t>
      </w:r>
      <w:r w:rsidRPr="00106946">
        <w:rPr>
          <w:rFonts w:ascii="Core Mellow 57 Cn Medium" w:hAnsi="Core Mellow 57 Cn Medium"/>
          <w:sz w:val="24"/>
          <w:szCs w:val="24"/>
        </w:rPr>
        <w:tab/>
        <w:t>30% - 70% discounts on over 10,000 front-end products</w:t>
      </w: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r w:rsidRPr="00106946">
        <w:rPr>
          <w:rFonts w:ascii="Core Mellow 57 Cn Medium" w:hAnsi="Core Mellow 57 Cn Medium"/>
          <w:sz w:val="24"/>
          <w:szCs w:val="24"/>
        </w:rPr>
        <w:t>•</w:t>
      </w:r>
      <w:r w:rsidRPr="00106946">
        <w:rPr>
          <w:rFonts w:ascii="Core Mellow 57 Cn Medium" w:hAnsi="Core Mellow 57 Cn Medium"/>
          <w:sz w:val="24"/>
          <w:szCs w:val="24"/>
        </w:rPr>
        <w:tab/>
        <w:t>Discounts on credit card processing fees</w:t>
      </w: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r w:rsidRPr="00106946">
        <w:rPr>
          <w:rFonts w:ascii="Core Mellow 57 Cn Medium" w:hAnsi="Core Mellow 57 Cn Medium"/>
          <w:sz w:val="24"/>
          <w:szCs w:val="24"/>
        </w:rPr>
        <w:t>•</w:t>
      </w:r>
      <w:r w:rsidRPr="00106946">
        <w:rPr>
          <w:rFonts w:ascii="Core Mellow 57 Cn Medium" w:hAnsi="Core Mellow 57 Cn Medium"/>
          <w:sz w:val="24"/>
          <w:szCs w:val="24"/>
        </w:rPr>
        <w:tab/>
        <w:t xml:space="preserve">Discounts on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Cash Club prescription processing fees for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Silver and Gold plans — putting more profit in the pharmacy owner’s pocket.</w:t>
      </w: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r w:rsidRPr="00106946">
        <w:rPr>
          <w:rFonts w:ascii="Core Mellow 57 Cn Medium" w:hAnsi="Core Mellow 57 Cn Medium"/>
          <w:sz w:val="24"/>
          <w:szCs w:val="24"/>
        </w:rPr>
        <w:t>•</w:t>
      </w:r>
      <w:r w:rsidRPr="00106946">
        <w:rPr>
          <w:rFonts w:ascii="Core Mellow 57 Cn Medium" w:hAnsi="Core Mellow 57 Cn Medium"/>
          <w:sz w:val="24"/>
          <w:szCs w:val="24"/>
        </w:rPr>
        <w:tab/>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Bronze, Silver and Gold members </w:t>
      </w:r>
      <w:r w:rsidRPr="003916F9">
        <w:rPr>
          <w:rFonts w:ascii="Core Mellow 77 Cn ExtraBold" w:hAnsi="Core Mellow 77 Cn ExtraBold"/>
          <w:color w:val="FFC000"/>
          <w:sz w:val="24"/>
          <w:szCs w:val="24"/>
        </w:rPr>
        <w:t>earn 5% - 12% on drop-shipped consumer purchases</w:t>
      </w:r>
      <w:r w:rsidRPr="00106946">
        <w:rPr>
          <w:rFonts w:ascii="Core Mellow 57 Cn Medium" w:hAnsi="Core Mellow 57 Cn Medium"/>
          <w:sz w:val="24"/>
          <w:szCs w:val="24"/>
        </w:rPr>
        <w:t xml:space="preserve"> when the consumer chooses them as the provider for their order or when the consumer orders from the member’s link to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e-drugstore. For example, on a $50 drop-shipped purchase, the member will receive $2.50 to $6.00.</w:t>
      </w: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r w:rsidRPr="00106946">
        <w:rPr>
          <w:rFonts w:ascii="Core Mellow 57 Cn Medium" w:hAnsi="Core Mellow 57 Cn Medium"/>
          <w:sz w:val="24"/>
          <w:szCs w:val="24"/>
        </w:rPr>
        <w:tab/>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Silver and Gold members receive a unique URL to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e-drugstore. Members can place this unique URL on their website allowing them to have e-commerce capabilities through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 if they don’t have an existing capability already. </w:t>
      </w: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r w:rsidRPr="00106946">
        <w:rPr>
          <w:rFonts w:ascii="Core Mellow 57 Cn Medium" w:hAnsi="Core Mellow 57 Cn Medium"/>
          <w:sz w:val="24"/>
          <w:szCs w:val="24"/>
        </w:rPr>
        <w:t>•</w:t>
      </w:r>
      <w:r w:rsidRPr="00106946">
        <w:rPr>
          <w:rFonts w:ascii="Core Mellow 57 Cn Medium" w:hAnsi="Core Mellow 57 Cn Medium"/>
          <w:sz w:val="24"/>
          <w:szCs w:val="24"/>
        </w:rPr>
        <w:tab/>
        <w:t>Access to educational articles, videos, webinars, discussion groups and one-on-one counseling</w:t>
      </w:r>
    </w:p>
    <w:p w:rsidR="00623B80" w:rsidRPr="00106946" w:rsidRDefault="00623B80" w:rsidP="00623B80">
      <w:pPr>
        <w:autoSpaceDE w:val="0"/>
        <w:autoSpaceDN w:val="0"/>
        <w:adjustRightInd w:val="0"/>
        <w:spacing w:after="0" w:line="360" w:lineRule="auto"/>
        <w:ind w:left="720" w:hanging="360"/>
        <w:rPr>
          <w:rFonts w:ascii="Core Mellow 57 Cn Medium" w:hAnsi="Core Mellow 57 Cn Medium"/>
          <w:sz w:val="24"/>
          <w:szCs w:val="24"/>
        </w:rPr>
      </w:pPr>
      <w:r w:rsidRPr="00106946">
        <w:rPr>
          <w:rFonts w:ascii="Core Mellow 57 Cn Medium" w:hAnsi="Core Mellow 57 Cn Medium"/>
          <w:sz w:val="24"/>
          <w:szCs w:val="24"/>
        </w:rPr>
        <w:t>•</w:t>
      </w:r>
      <w:r w:rsidRPr="00106946">
        <w:rPr>
          <w:rFonts w:ascii="Core Mellow 57 Cn Medium" w:hAnsi="Core Mellow 57 Cn Medium"/>
          <w:sz w:val="24"/>
          <w:szCs w:val="24"/>
        </w:rPr>
        <w:tab/>
        <w:t xml:space="preserve">Proactive consumer marketing by </w:t>
      </w:r>
      <w:proofErr w:type="spellStart"/>
      <w:r w:rsidRPr="00106946">
        <w:rPr>
          <w:rFonts w:ascii="Core Mellow 57 Cn Medium" w:hAnsi="Core Mellow 57 Cn Medium"/>
          <w:sz w:val="24"/>
          <w:szCs w:val="24"/>
        </w:rPr>
        <w:t>DoseRx</w:t>
      </w:r>
      <w:proofErr w:type="spellEnd"/>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If members follow the prescribed program, we estimate their membership fee can pay for itself with 32 or fewer, new or refill cash prescriptions per month depending on the membership level purchased, and members can </w:t>
      </w:r>
      <w:r w:rsidRPr="003916F9">
        <w:rPr>
          <w:rFonts w:ascii="Core Mellow 57 Cn Medium" w:hAnsi="Core Mellow 57 Cn Medium"/>
          <w:b/>
          <w:color w:val="FFC000"/>
          <w:sz w:val="24"/>
          <w:szCs w:val="24"/>
        </w:rPr>
        <w:t>add up to $300,000 in profit</w:t>
      </w:r>
      <w:r w:rsidRPr="00106946">
        <w:rPr>
          <w:rFonts w:ascii="Core Mellow 57 Cn Medium" w:hAnsi="Core Mellow 57 Cn Medium"/>
          <w:sz w:val="24"/>
          <w:szCs w:val="24"/>
        </w:rPr>
        <w:t>.</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3916F9" w:rsidRDefault="00623B80" w:rsidP="00623B80">
      <w:pPr>
        <w:autoSpaceDE w:val="0"/>
        <w:autoSpaceDN w:val="0"/>
        <w:adjustRightInd w:val="0"/>
        <w:spacing w:after="0" w:line="360" w:lineRule="auto"/>
        <w:rPr>
          <w:rFonts w:ascii="Core Mellow 77 Cn ExtraBold" w:hAnsi="Core Mellow 77 Cn ExtraBold"/>
          <w:sz w:val="24"/>
          <w:szCs w:val="24"/>
        </w:rPr>
      </w:pPr>
      <w:r w:rsidRPr="003916F9">
        <w:rPr>
          <w:rFonts w:ascii="Core Mellow 77 Cn ExtraBold" w:hAnsi="Core Mellow 77 Cn ExtraBold"/>
          <w:color w:val="75C2BD"/>
          <w:sz w:val="24"/>
          <w:szCs w:val="24"/>
        </w:rPr>
        <w:t xml:space="preserve">No. of NEW or REFILL Cash Prescriptions Processed Through </w:t>
      </w:r>
      <w:proofErr w:type="spellStart"/>
      <w:r w:rsidRPr="003916F9">
        <w:rPr>
          <w:rFonts w:ascii="Core Mellow 77 Cn ExtraBold" w:hAnsi="Core Mellow 77 Cn ExtraBold"/>
          <w:color w:val="75C2BD"/>
          <w:sz w:val="24"/>
          <w:szCs w:val="24"/>
        </w:rPr>
        <w:t>DoseRx</w:t>
      </w:r>
      <w:proofErr w:type="spellEnd"/>
      <w:r w:rsidRPr="003916F9">
        <w:rPr>
          <w:rFonts w:ascii="Core Mellow 77 Cn ExtraBold" w:hAnsi="Core Mellow 77 Cn ExtraBold"/>
          <w:color w:val="75C2BD"/>
          <w:sz w:val="24"/>
          <w:szCs w:val="24"/>
        </w:rPr>
        <w:t xml:space="preserve"> — Break-even Point</w:t>
      </w:r>
      <w:r w:rsidRPr="003916F9">
        <w:rPr>
          <w:rFonts w:ascii="Core Mellow 77 Cn ExtraBold" w:hAnsi="Core Mellow 77 Cn ExtraBold"/>
          <w:sz w:val="24"/>
          <w:szCs w:val="24"/>
        </w:rPr>
        <w:t xml:space="preserve">  </w:t>
      </w:r>
      <w:bookmarkStart w:id="0" w:name="_GoBack"/>
      <w:bookmarkEnd w:id="0"/>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Bronze Marketing Membership Plan:</w:t>
      </w:r>
      <w:r w:rsidRPr="00106946">
        <w:rPr>
          <w:rFonts w:ascii="Core Mellow 57 Cn Medium" w:hAnsi="Core Mellow 57 Cn Medium"/>
          <w:sz w:val="24"/>
          <w:szCs w:val="24"/>
        </w:rPr>
        <w:tab/>
      </w:r>
      <w:r w:rsidRPr="00106946">
        <w:rPr>
          <w:rFonts w:ascii="Core Mellow 57 Cn Medium" w:hAnsi="Core Mellow 57 Cn Medium"/>
          <w:sz w:val="24"/>
          <w:szCs w:val="24"/>
        </w:rPr>
        <w:tab/>
      </w:r>
      <w:r w:rsidRPr="00106946">
        <w:rPr>
          <w:rFonts w:ascii="Core Mellow 57 Cn Medium" w:hAnsi="Core Mellow 57 Cn Medium"/>
          <w:sz w:val="24"/>
          <w:szCs w:val="24"/>
        </w:rPr>
        <w:tab/>
      </w:r>
      <w:r w:rsidRPr="00106946">
        <w:rPr>
          <w:rFonts w:ascii="Core Mellow 57 Cn Medium" w:hAnsi="Core Mellow 57 Cn Medium"/>
          <w:sz w:val="24"/>
          <w:szCs w:val="24"/>
        </w:rPr>
        <w:tab/>
      </w:r>
      <w:r w:rsidRPr="00106946">
        <w:rPr>
          <w:rFonts w:ascii="Core Mellow 57 Cn Medium" w:hAnsi="Core Mellow 57 Cn Medium"/>
          <w:sz w:val="24"/>
          <w:szCs w:val="24"/>
        </w:rPr>
        <w:tab/>
        <w:t>$299 x 0.5 x 12 = $1,794</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Average Profit per Prescription -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Transaction Fee:</w:t>
      </w:r>
      <w:r w:rsidRPr="00106946">
        <w:rPr>
          <w:rFonts w:ascii="Core Mellow 57 Cn Medium" w:hAnsi="Core Mellow 57 Cn Medium"/>
          <w:sz w:val="24"/>
          <w:szCs w:val="24"/>
        </w:rPr>
        <w:tab/>
      </w:r>
      <w:r w:rsidRPr="00106946">
        <w:rPr>
          <w:rFonts w:ascii="Core Mellow 57 Cn Medium" w:hAnsi="Core Mellow 57 Cn Medium"/>
          <w:sz w:val="24"/>
          <w:szCs w:val="24"/>
        </w:rPr>
        <w:tab/>
      </w:r>
      <w:r w:rsidRPr="00106946">
        <w:rPr>
          <w:rFonts w:ascii="Core Mellow 57 Cn Medium" w:hAnsi="Core Mellow 57 Cn Medium"/>
          <w:sz w:val="24"/>
          <w:szCs w:val="24"/>
        </w:rPr>
        <w:tab/>
      </w:r>
      <w:r w:rsidRPr="003916F9">
        <w:rPr>
          <w:rFonts w:ascii="Core Mellow 57 Cn Medium" w:hAnsi="Core Mellow 57 Cn Medium"/>
          <w:sz w:val="24"/>
          <w:szCs w:val="24"/>
          <w:u w:val="single"/>
        </w:rPr>
        <w:t>÷ ($20 - $0.99) = $19.01</w:t>
      </w:r>
    </w:p>
    <w:p w:rsidR="00623B80" w:rsidRPr="003916F9" w:rsidRDefault="00623B80" w:rsidP="00623B80">
      <w:pPr>
        <w:autoSpaceDE w:val="0"/>
        <w:autoSpaceDN w:val="0"/>
        <w:adjustRightInd w:val="0"/>
        <w:spacing w:after="0" w:line="360" w:lineRule="auto"/>
        <w:rPr>
          <w:rFonts w:ascii="Core Mellow 67 Cn Bold" w:hAnsi="Core Mellow 67 Cn Bold"/>
          <w:sz w:val="24"/>
          <w:szCs w:val="24"/>
        </w:rPr>
      </w:pPr>
      <w:r w:rsidRPr="003916F9">
        <w:rPr>
          <w:rFonts w:ascii="Core Mellow 67 Cn Bold" w:hAnsi="Core Mellow 67 Cn Bold"/>
          <w:sz w:val="24"/>
          <w:szCs w:val="24"/>
        </w:rPr>
        <w:t xml:space="preserve">NEW or REFILL </w:t>
      </w:r>
      <w:proofErr w:type="spellStart"/>
      <w:r w:rsidRPr="003916F9">
        <w:rPr>
          <w:rFonts w:ascii="Core Mellow 67 Cn Bold" w:hAnsi="Core Mellow 67 Cn Bold"/>
          <w:sz w:val="24"/>
          <w:szCs w:val="24"/>
        </w:rPr>
        <w:t>DoseRx</w:t>
      </w:r>
      <w:proofErr w:type="spellEnd"/>
      <w:r w:rsidRPr="003916F9">
        <w:rPr>
          <w:rFonts w:ascii="Core Mellow 67 Cn Bold" w:hAnsi="Core Mellow 67 Cn Bold"/>
          <w:sz w:val="24"/>
          <w:szCs w:val="24"/>
        </w:rPr>
        <w:t xml:space="preserve"> Cash Prescriptions to Pay for </w:t>
      </w:r>
      <w:proofErr w:type="spellStart"/>
      <w:r w:rsidRPr="003916F9">
        <w:rPr>
          <w:rFonts w:ascii="Core Mellow 67 Cn Bold" w:hAnsi="Core Mellow 67 Cn Bold"/>
          <w:sz w:val="24"/>
          <w:szCs w:val="24"/>
        </w:rPr>
        <w:t>DoseRx</w:t>
      </w:r>
      <w:proofErr w:type="spellEnd"/>
      <w:r w:rsidRPr="003916F9">
        <w:rPr>
          <w:rFonts w:ascii="Core Mellow 67 Cn Bold" w:hAnsi="Core Mellow 67 Cn Bold"/>
          <w:sz w:val="24"/>
          <w:szCs w:val="24"/>
        </w:rPr>
        <w:t xml:space="preserve"> Membership: </w:t>
      </w:r>
      <w:r w:rsidRPr="003916F9">
        <w:rPr>
          <w:rFonts w:ascii="Core Mellow 67 Cn Bold" w:hAnsi="Core Mellow 67 Cn Bold"/>
          <w:sz w:val="24"/>
          <w:szCs w:val="24"/>
        </w:rPr>
        <w:tab/>
      </w:r>
      <w:r w:rsidRPr="003916F9">
        <w:rPr>
          <w:rFonts w:ascii="Core Mellow 67 Cn Bold" w:hAnsi="Core Mellow 67 Cn Bold"/>
          <w:sz w:val="24"/>
          <w:szCs w:val="24"/>
        </w:rPr>
        <w:tab/>
        <w:t>96 annually or 8/mo.</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With the average NCPA member pharmacy processing 191 prescriptions per day that is less than 2 prescriptions per week.</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 xml:space="preserve">For more details, and to join the </w:t>
      </w:r>
      <w:proofErr w:type="spellStart"/>
      <w:r w:rsidRPr="00106946">
        <w:rPr>
          <w:rFonts w:ascii="Core Mellow 57 Cn Medium" w:hAnsi="Core Mellow 57 Cn Medium"/>
          <w:sz w:val="24"/>
          <w:szCs w:val="24"/>
        </w:rPr>
        <w:t>DoseRx</w:t>
      </w:r>
      <w:proofErr w:type="spellEnd"/>
      <w:r w:rsidRPr="00106946">
        <w:rPr>
          <w:rFonts w:ascii="Core Mellow 57 Cn Medium" w:hAnsi="Core Mellow 57 Cn Medium"/>
          <w:sz w:val="24"/>
          <w:szCs w:val="24"/>
        </w:rPr>
        <w:t xml:space="preserve"> ecosystem, contact Parag at +1 815.255.1961 or parag@doserx.com.</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
    <w:p w:rsidR="00623B80" w:rsidRPr="00106946" w:rsidRDefault="00623B80" w:rsidP="00623B80">
      <w:pPr>
        <w:autoSpaceDE w:val="0"/>
        <w:autoSpaceDN w:val="0"/>
        <w:adjustRightInd w:val="0"/>
        <w:spacing w:after="0" w:line="360" w:lineRule="auto"/>
        <w:rPr>
          <w:rFonts w:ascii="Core Mellow 77 Cn ExtraBold" w:hAnsi="Core Mellow 77 Cn ExtraBold"/>
          <w:sz w:val="24"/>
          <w:szCs w:val="24"/>
        </w:rPr>
      </w:pPr>
      <w:r w:rsidRPr="00106946">
        <w:rPr>
          <w:rFonts w:ascii="Core Mellow 77 Cn ExtraBold" w:hAnsi="Core Mellow 77 Cn ExtraBold"/>
          <w:sz w:val="24"/>
          <w:szCs w:val="24"/>
        </w:rPr>
        <w:t>Media Inquiries:</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Jeff Klingberg</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President/CEO</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Mountain Stream Group, Inc.</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r w:rsidRPr="00106946">
        <w:rPr>
          <w:rFonts w:ascii="Core Mellow 57 Cn Medium" w:hAnsi="Core Mellow 57 Cn Medium"/>
          <w:sz w:val="24"/>
          <w:szCs w:val="24"/>
        </w:rPr>
        <w:t>T +1 847.453.8895 x701</w:t>
      </w:r>
    </w:p>
    <w:p w:rsidR="00623B80" w:rsidRPr="00106946" w:rsidRDefault="00623B80" w:rsidP="00623B80">
      <w:pPr>
        <w:autoSpaceDE w:val="0"/>
        <w:autoSpaceDN w:val="0"/>
        <w:adjustRightInd w:val="0"/>
        <w:spacing w:after="0" w:line="360" w:lineRule="auto"/>
        <w:rPr>
          <w:rFonts w:ascii="Core Mellow 57 Cn Medium" w:hAnsi="Core Mellow 57 Cn Medium"/>
          <w:sz w:val="24"/>
          <w:szCs w:val="24"/>
        </w:rPr>
      </w:pPr>
      <w:proofErr w:type="gramStart"/>
      <w:r w:rsidRPr="00106946">
        <w:rPr>
          <w:rFonts w:ascii="Core Mellow 57 Cn Medium" w:hAnsi="Core Mellow 57 Cn Medium"/>
          <w:sz w:val="24"/>
          <w:szCs w:val="24"/>
        </w:rPr>
        <w:t>E  jklingberg@mountainstreamgroup.com</w:t>
      </w:r>
      <w:proofErr w:type="gramEnd"/>
    </w:p>
    <w:p w:rsidR="00623B80" w:rsidRPr="00106946" w:rsidRDefault="00623B80" w:rsidP="00623B80">
      <w:pPr>
        <w:autoSpaceDE w:val="0"/>
        <w:autoSpaceDN w:val="0"/>
        <w:adjustRightInd w:val="0"/>
        <w:spacing w:after="0" w:line="240" w:lineRule="auto"/>
        <w:rPr>
          <w:rFonts w:ascii="Core Mellow 57 Cn Medium" w:hAnsi="Core Mellow 57 Cn Medium"/>
          <w:sz w:val="24"/>
          <w:szCs w:val="24"/>
        </w:rPr>
      </w:pPr>
    </w:p>
    <w:p w:rsidR="00106946" w:rsidRPr="00106946" w:rsidRDefault="00106946">
      <w:pPr>
        <w:autoSpaceDE w:val="0"/>
        <w:autoSpaceDN w:val="0"/>
        <w:adjustRightInd w:val="0"/>
        <w:spacing w:after="0" w:line="240" w:lineRule="auto"/>
        <w:rPr>
          <w:rFonts w:ascii="Core Mellow 57 Cn Medium" w:hAnsi="Core Mellow 57 Cn Medium"/>
          <w:sz w:val="24"/>
          <w:szCs w:val="24"/>
        </w:rPr>
      </w:pPr>
    </w:p>
    <w:sectPr w:rsidR="00106946" w:rsidRPr="0010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velethCleanRegular">
    <w:panose1 w:val="00000000000000000000"/>
    <w:charset w:val="00"/>
    <w:family w:val="swiss"/>
    <w:notTrueType/>
    <w:pitch w:val="default"/>
    <w:sig w:usb0="00000003" w:usb1="00000000" w:usb2="00000000" w:usb3="00000000" w:csb0="00000001" w:csb1="00000000"/>
  </w:font>
  <w:font w:name="CoreMellow67CnBold">
    <w:panose1 w:val="00000000000000000000"/>
    <w:charset w:val="00"/>
    <w:family w:val="auto"/>
    <w:notTrueType/>
    <w:pitch w:val="default"/>
    <w:sig w:usb0="00000003" w:usb1="00000000" w:usb2="00000000" w:usb3="00000000" w:csb0="00000001" w:csb1="00000000"/>
  </w:font>
  <w:font w:name="PlutoSansBold">
    <w:panose1 w:val="00000000000000000000"/>
    <w:charset w:val="00"/>
    <w:family w:val="swiss"/>
    <w:notTrueType/>
    <w:pitch w:val="default"/>
    <w:sig w:usb0="00000003" w:usb1="00000000" w:usb2="00000000" w:usb3="00000000" w:csb0="00000001" w:csb1="00000000"/>
  </w:font>
  <w:font w:name="Core Mellow 77 Cn ExtraBold">
    <w:panose1 w:val="020F0806030302020204"/>
    <w:charset w:val="00"/>
    <w:family w:val="swiss"/>
    <w:notTrueType/>
    <w:pitch w:val="variable"/>
    <w:sig w:usb0="A000026F" w:usb1="500078FB" w:usb2="00000000" w:usb3="00000000" w:csb0="00000097" w:csb1="00000000"/>
  </w:font>
  <w:font w:name="Core Mellow 57 Cn Medium">
    <w:panose1 w:val="020F0606030302020204"/>
    <w:charset w:val="00"/>
    <w:family w:val="swiss"/>
    <w:notTrueType/>
    <w:pitch w:val="variable"/>
    <w:sig w:usb0="A000026F" w:usb1="500078FB" w:usb2="00000000" w:usb3="00000000" w:csb0="00000097" w:csb1="00000000"/>
  </w:font>
  <w:font w:name="Core Mellow 67 Cn Bold">
    <w:panose1 w:val="020F0706030302020204"/>
    <w:charset w:val="00"/>
    <w:family w:val="swiss"/>
    <w:notTrueType/>
    <w:pitch w:val="variable"/>
    <w:sig w:usb0="A000026F" w:usb1="500078F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M7A0tTQ1NjUzNjBT0lEKTi0uzszPAykwrAUAeZbZCSwAAAA="/>
  </w:docVars>
  <w:rsids>
    <w:rsidRoot w:val="00623B80"/>
    <w:rsid w:val="00106946"/>
    <w:rsid w:val="001C4284"/>
    <w:rsid w:val="001C4457"/>
    <w:rsid w:val="001F1124"/>
    <w:rsid w:val="00254614"/>
    <w:rsid w:val="003916F9"/>
    <w:rsid w:val="00402B00"/>
    <w:rsid w:val="00623B80"/>
    <w:rsid w:val="00814837"/>
    <w:rsid w:val="00AA2B40"/>
    <w:rsid w:val="00BF2792"/>
    <w:rsid w:val="00F9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1BFB"/>
  <w15:chartTrackingRefBased/>
  <w15:docId w15:val="{2DD5A2DE-DEFE-4692-AD4B-176774F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Klingberg</dc:creator>
  <cp:keywords/>
  <dc:description/>
  <cp:lastModifiedBy>Jeff Klingberg</cp:lastModifiedBy>
  <cp:revision>4</cp:revision>
  <dcterms:created xsi:type="dcterms:W3CDTF">2018-04-13T02:42:00Z</dcterms:created>
  <dcterms:modified xsi:type="dcterms:W3CDTF">2018-04-13T03:32:00Z</dcterms:modified>
</cp:coreProperties>
</file>